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4F4D" w:rsidRDefault="006F4F4D">
      <w:pPr>
        <w:autoSpaceDE w:val="0"/>
        <w:autoSpaceDN w:val="0"/>
        <w:adjustRightInd w:val="0"/>
        <w:jc w:val="center"/>
        <w:rPr>
          <w:rFonts w:ascii="OldEnglishTextMT" w:hAnsi="OldEnglishTextMT" w:cs="OldEnglishTextMT"/>
          <w:sz w:val="32"/>
          <w:szCs w:val="32"/>
        </w:rPr>
      </w:pPr>
      <w:bookmarkStart w:id="0" w:name="_GoBack"/>
      <w:bookmarkEnd w:id="0"/>
      <w:r>
        <w:rPr>
          <w:rFonts w:ascii="OldEnglishTextMT" w:hAnsi="OldEnglishTextMT" w:cs="OldEnglishTextMT"/>
          <w:sz w:val="32"/>
          <w:szCs w:val="32"/>
        </w:rPr>
        <w:t>In the Supreme Court of the United States</w:t>
      </w:r>
    </w:p>
    <w:p w:rsidR="006F4F4D" w:rsidRDefault="006F4F4D">
      <w:pPr>
        <w:autoSpaceDE w:val="0"/>
        <w:autoSpaceDN w:val="0"/>
        <w:adjustRightInd w:val="0"/>
        <w:jc w:val="center"/>
        <w:rPr>
          <w:rFonts w:ascii="OldEnglishTextMT" w:hAnsi="OldEnglishTextMT" w:cs="OldEnglishTextMT"/>
          <w:sz w:val="32"/>
          <w:szCs w:val="32"/>
        </w:rPr>
      </w:pPr>
    </w:p>
    <w:p w:rsidR="006F4F4D" w:rsidRDefault="006F4F4D">
      <w:pPr>
        <w:autoSpaceDE w:val="0"/>
        <w:autoSpaceDN w:val="0"/>
        <w:adjustRightInd w:val="0"/>
        <w:jc w:val="center"/>
        <w:rPr>
          <w:rFonts w:ascii="OldEnglishTextMT" w:hAnsi="OldEnglishTextMT" w:cs="OldEnglishTextMT"/>
          <w:sz w:val="32"/>
          <w:szCs w:val="32"/>
        </w:rPr>
      </w:pPr>
    </w:p>
    <w:p w:rsidR="006F4F4D" w:rsidRDefault="006F4F4D">
      <w:pPr>
        <w:autoSpaceDE w:val="0"/>
        <w:autoSpaceDN w:val="0"/>
        <w:adjustRightInd w:val="0"/>
        <w:jc w:val="center"/>
        <w:rPr>
          <w:rFonts w:ascii="OldEnglishTextMT" w:hAnsi="OldEnglishTextMT" w:cs="OldEnglishTextMT"/>
          <w:sz w:val="32"/>
          <w:szCs w:val="32"/>
        </w:rPr>
      </w:pPr>
    </w:p>
    <w:p w:rsidR="006F4F4D" w:rsidRDefault="006F4F4D">
      <w:pPr>
        <w:autoSpaceDE w:val="0"/>
        <w:autoSpaceDN w:val="0"/>
        <w:adjustRightInd w:val="0"/>
        <w:jc w:val="center"/>
        <w:rPr>
          <w:rFonts w:ascii="OldEnglishTextMT" w:hAnsi="OldEnglishTextMT" w:cs="OldEnglishTextMT"/>
          <w:sz w:val="32"/>
          <w:szCs w:val="32"/>
        </w:rPr>
      </w:pPr>
    </w:p>
    <w:p w:rsidR="006F4F4D" w:rsidRDefault="006F4F4D">
      <w:pPr>
        <w:autoSpaceDE w:val="0"/>
        <w:autoSpaceDN w:val="0"/>
        <w:adjustRightInd w:val="0"/>
        <w:jc w:val="center"/>
      </w:pPr>
      <w:r>
        <w:t>————</w:t>
      </w:r>
    </w:p>
    <w:p w:rsidR="006F4F4D" w:rsidRDefault="006F4F4D">
      <w:pPr>
        <w:autoSpaceDE w:val="0"/>
        <w:autoSpaceDN w:val="0"/>
        <w:adjustRightInd w:val="0"/>
        <w:jc w:val="center"/>
      </w:pPr>
    </w:p>
    <w:p w:rsidR="006F4F4D" w:rsidRDefault="006F4F4D">
      <w:pPr>
        <w:autoSpaceDE w:val="0"/>
        <w:autoSpaceDN w:val="0"/>
        <w:adjustRightInd w:val="0"/>
        <w:jc w:val="center"/>
      </w:pPr>
      <w:r>
        <w:rPr>
          <w:smallCaps/>
        </w:rPr>
        <w:t>ted sutton</w:t>
      </w:r>
      <w:r>
        <w:t>,</w:t>
      </w:r>
    </w:p>
    <w:p w:rsidR="006F4F4D" w:rsidRDefault="006F4F4D">
      <w:pPr>
        <w:autoSpaceDE w:val="0"/>
        <w:autoSpaceDN w:val="0"/>
        <w:adjustRightInd w:val="0"/>
        <w:jc w:val="center"/>
      </w:pPr>
      <w:r>
        <w:rPr>
          <w:i/>
          <w:iCs/>
        </w:rPr>
        <w:t>Petitioner</w:t>
      </w:r>
      <w:r>
        <w:t>,</w:t>
      </w:r>
    </w:p>
    <w:p w:rsidR="006F4F4D" w:rsidRDefault="006F4F4D">
      <w:pPr>
        <w:autoSpaceDE w:val="0"/>
        <w:autoSpaceDN w:val="0"/>
        <w:adjustRightInd w:val="0"/>
        <w:jc w:val="center"/>
      </w:pPr>
      <w:r>
        <w:t>v.</w:t>
      </w:r>
    </w:p>
    <w:p w:rsidR="006F4F4D" w:rsidRDefault="006F4F4D">
      <w:pPr>
        <w:autoSpaceDE w:val="0"/>
        <w:autoSpaceDN w:val="0"/>
        <w:adjustRightInd w:val="0"/>
        <w:jc w:val="center"/>
      </w:pPr>
      <w:r>
        <w:rPr>
          <w:smallCaps/>
        </w:rPr>
        <w:t>state of alaska</w:t>
      </w:r>
      <w:r>
        <w:t>,</w:t>
      </w:r>
    </w:p>
    <w:p w:rsidR="006F4F4D" w:rsidRDefault="006F4F4D">
      <w:pPr>
        <w:autoSpaceDE w:val="0"/>
        <w:autoSpaceDN w:val="0"/>
        <w:adjustRightInd w:val="0"/>
        <w:jc w:val="center"/>
      </w:pPr>
      <w:r>
        <w:rPr>
          <w:i/>
          <w:iCs/>
        </w:rPr>
        <w:t>Respondent</w:t>
      </w:r>
      <w:r>
        <w:t>.</w:t>
      </w:r>
    </w:p>
    <w:p w:rsidR="006F4F4D" w:rsidRDefault="006F4F4D">
      <w:pPr>
        <w:autoSpaceDE w:val="0"/>
        <w:autoSpaceDN w:val="0"/>
        <w:adjustRightInd w:val="0"/>
        <w:jc w:val="center"/>
      </w:pPr>
    </w:p>
    <w:p w:rsidR="006F4F4D" w:rsidRDefault="006F4F4D">
      <w:pPr>
        <w:autoSpaceDE w:val="0"/>
        <w:autoSpaceDN w:val="0"/>
        <w:adjustRightInd w:val="0"/>
        <w:jc w:val="center"/>
      </w:pPr>
    </w:p>
    <w:p w:rsidR="006F4F4D" w:rsidRDefault="006F4F4D">
      <w:pPr>
        <w:autoSpaceDE w:val="0"/>
        <w:autoSpaceDN w:val="0"/>
        <w:adjustRightInd w:val="0"/>
        <w:jc w:val="center"/>
      </w:pPr>
    </w:p>
    <w:p w:rsidR="006F4F4D" w:rsidRDefault="006F4F4D">
      <w:pPr>
        <w:autoSpaceDE w:val="0"/>
        <w:autoSpaceDN w:val="0"/>
        <w:adjustRightInd w:val="0"/>
        <w:jc w:val="center"/>
      </w:pPr>
      <w:r>
        <w:t>————</w:t>
      </w:r>
    </w:p>
    <w:p w:rsidR="006F4F4D" w:rsidRDefault="006F4F4D">
      <w:pPr>
        <w:autoSpaceDE w:val="0"/>
        <w:autoSpaceDN w:val="0"/>
        <w:adjustRightInd w:val="0"/>
        <w:jc w:val="center"/>
        <w:rPr>
          <w:b/>
          <w:bCs/>
        </w:rPr>
      </w:pPr>
      <w:r>
        <w:rPr>
          <w:b/>
          <w:bCs/>
        </w:rPr>
        <w:t>On Writ of Certiorari to the</w:t>
      </w:r>
    </w:p>
    <w:p w:rsidR="006F4F4D" w:rsidRDefault="006F4F4D">
      <w:pPr>
        <w:autoSpaceDE w:val="0"/>
        <w:autoSpaceDN w:val="0"/>
        <w:adjustRightInd w:val="0"/>
        <w:jc w:val="center"/>
        <w:rPr>
          <w:b/>
          <w:bCs/>
        </w:rPr>
      </w:pPr>
      <w:r>
        <w:rPr>
          <w:b/>
          <w:bCs/>
        </w:rPr>
        <w:t>United States Court of Appeals</w:t>
      </w:r>
    </w:p>
    <w:p w:rsidR="006F4F4D" w:rsidRDefault="006F4F4D">
      <w:pPr>
        <w:autoSpaceDE w:val="0"/>
        <w:autoSpaceDN w:val="0"/>
        <w:adjustRightInd w:val="0"/>
        <w:jc w:val="center"/>
        <w:rPr>
          <w:b/>
          <w:bCs/>
        </w:rPr>
      </w:pPr>
      <w:r>
        <w:rPr>
          <w:b/>
          <w:bCs/>
        </w:rPr>
        <w:t>for the Eleventh Circuit</w:t>
      </w:r>
    </w:p>
    <w:p w:rsidR="006F4F4D" w:rsidRDefault="006F4F4D">
      <w:pPr>
        <w:autoSpaceDE w:val="0"/>
        <w:autoSpaceDN w:val="0"/>
        <w:adjustRightInd w:val="0"/>
        <w:jc w:val="center"/>
      </w:pPr>
      <w:r>
        <w:t>————</w:t>
      </w:r>
    </w:p>
    <w:p w:rsidR="006F4F4D" w:rsidRDefault="006F4F4D">
      <w:pPr>
        <w:autoSpaceDE w:val="0"/>
        <w:autoSpaceDN w:val="0"/>
        <w:adjustRightInd w:val="0"/>
        <w:rPr>
          <w:b/>
          <w:bCs/>
        </w:rPr>
      </w:pPr>
    </w:p>
    <w:p w:rsidR="006F4F4D" w:rsidRDefault="006F4F4D">
      <w:pPr>
        <w:autoSpaceDE w:val="0"/>
        <w:autoSpaceDN w:val="0"/>
        <w:adjustRightInd w:val="0"/>
        <w:rPr>
          <w:b/>
          <w:bCs/>
        </w:rPr>
      </w:pPr>
      <w:r>
        <w:rPr>
          <w:b/>
          <w:bCs/>
        </w:rPr>
        <w:t>REPLY BRIEF FOR THE PETITIONER</w:t>
      </w:r>
    </w:p>
    <w:p w:rsidR="006F4F4D" w:rsidRDefault="006F4F4D">
      <w:pPr>
        <w:autoSpaceDE w:val="0"/>
        <w:autoSpaceDN w:val="0"/>
        <w:adjustRightInd w:val="0"/>
      </w:pPr>
      <w:r>
        <w:t>————</w:t>
      </w:r>
    </w:p>
    <w:p w:rsidR="006F4F4D" w:rsidRDefault="006F4F4D">
      <w:pPr>
        <w:autoSpaceDE w:val="0"/>
        <w:autoSpaceDN w:val="0"/>
        <w:adjustRightInd w:val="0"/>
        <w:rPr>
          <w:sz w:val="18"/>
          <w:szCs w:val="18"/>
        </w:rPr>
      </w:pPr>
      <w:r>
        <w:rPr>
          <w:sz w:val="22"/>
          <w:szCs w:val="22"/>
        </w:rPr>
        <w:t>W</w:t>
      </w:r>
      <w:r>
        <w:rPr>
          <w:sz w:val="18"/>
          <w:szCs w:val="18"/>
        </w:rPr>
        <w:t xml:space="preserve">ILLIAM </w:t>
      </w:r>
      <w:r>
        <w:rPr>
          <w:sz w:val="22"/>
          <w:szCs w:val="22"/>
        </w:rPr>
        <w:t>M. LAKE, Esq.</w:t>
      </w:r>
    </w:p>
    <w:p w:rsidR="006F4F4D" w:rsidRDefault="006F4F4D">
      <w:pPr>
        <w:autoSpaceDE w:val="0"/>
        <w:autoSpaceDN w:val="0"/>
        <w:adjustRightInd w:val="0"/>
        <w:rPr>
          <w:sz w:val="22"/>
          <w:szCs w:val="22"/>
        </w:rPr>
      </w:pPr>
      <w:r>
        <w:rPr>
          <w:sz w:val="22"/>
          <w:szCs w:val="22"/>
        </w:rPr>
        <w:t>801 7</w:t>
      </w:r>
      <w:r>
        <w:rPr>
          <w:sz w:val="22"/>
          <w:szCs w:val="22"/>
          <w:vertAlign w:val="superscript"/>
        </w:rPr>
        <w:t>th</w:t>
      </w:r>
      <w:r>
        <w:rPr>
          <w:sz w:val="22"/>
          <w:szCs w:val="22"/>
        </w:rPr>
        <w:t xml:space="preserve"> Street</w:t>
      </w:r>
    </w:p>
    <w:p w:rsidR="006F4F4D" w:rsidRDefault="006F4F4D">
      <w:pPr>
        <w:autoSpaceDE w:val="0"/>
        <w:autoSpaceDN w:val="0"/>
        <w:adjustRightInd w:val="0"/>
        <w:rPr>
          <w:sz w:val="22"/>
          <w:szCs w:val="22"/>
        </w:rPr>
      </w:pPr>
      <w:r>
        <w:rPr>
          <w:sz w:val="22"/>
          <w:szCs w:val="22"/>
        </w:rPr>
        <w:t>New York, NY 95387</w:t>
      </w:r>
    </w:p>
    <w:p w:rsidR="006F4F4D" w:rsidRDefault="006F4F4D">
      <w:pPr>
        <w:autoSpaceDE w:val="0"/>
        <w:autoSpaceDN w:val="0"/>
        <w:adjustRightInd w:val="0"/>
        <w:rPr>
          <w:sz w:val="22"/>
          <w:szCs w:val="22"/>
        </w:rPr>
      </w:pPr>
    </w:p>
    <w:p w:rsidR="006F4F4D" w:rsidRDefault="006F4F4D">
      <w:pPr>
        <w:autoSpaceDE w:val="0"/>
        <w:autoSpaceDN w:val="0"/>
        <w:adjustRightInd w:val="0"/>
        <w:rPr>
          <w:i/>
          <w:iCs/>
          <w:sz w:val="22"/>
          <w:szCs w:val="22"/>
        </w:rPr>
      </w:pPr>
      <w:r>
        <w:rPr>
          <w:i/>
          <w:iCs/>
          <w:sz w:val="22"/>
          <w:szCs w:val="22"/>
        </w:rPr>
        <w:t>Attorney for Petitioner</w:t>
      </w:r>
    </w:p>
    <w:p w:rsidR="006F4F4D" w:rsidRDefault="006F4F4D">
      <w:pPr>
        <w:autoSpaceDE w:val="0"/>
        <w:autoSpaceDN w:val="0"/>
        <w:adjustRightInd w:val="0"/>
        <w:rPr>
          <w:sz w:val="22"/>
          <w:szCs w:val="22"/>
        </w:rPr>
      </w:pPr>
      <w:r>
        <w:rPr>
          <w:sz w:val="22"/>
          <w:szCs w:val="22"/>
        </w:rPr>
        <w:br w:type="page"/>
      </w:r>
    </w:p>
    <w:p w:rsidR="006F4F4D" w:rsidRDefault="006F4F4D">
      <w:pPr>
        <w:autoSpaceDE w:val="0"/>
        <w:autoSpaceDN w:val="0"/>
        <w:adjustRightInd w:val="0"/>
        <w:jc w:val="center"/>
      </w:pPr>
      <w:r>
        <w:lastRenderedPageBreak/>
        <w:t>TABLE OF CONTENTS</w:t>
      </w:r>
    </w:p>
    <w:p w:rsidR="006F4F4D" w:rsidRDefault="006F4F4D">
      <w:pPr>
        <w:autoSpaceDE w:val="0"/>
        <w:autoSpaceDN w:val="0"/>
        <w:adjustRightInd w:val="0"/>
        <w:jc w:val="center"/>
      </w:pPr>
    </w:p>
    <w:p w:rsidR="006F4F4D" w:rsidRDefault="006F4F4D">
      <w:pPr>
        <w:autoSpaceDE w:val="0"/>
        <w:autoSpaceDN w:val="0"/>
        <w:adjustRightInd w:val="0"/>
      </w:pPr>
      <w:r>
        <w:t>TABLE OF AUTHORITIES …………………………………………………..….3</w:t>
      </w:r>
    </w:p>
    <w:p w:rsidR="006F4F4D" w:rsidRDefault="006F4F4D">
      <w:pPr>
        <w:autoSpaceDE w:val="0"/>
        <w:autoSpaceDN w:val="0"/>
        <w:adjustRightInd w:val="0"/>
      </w:pPr>
    </w:p>
    <w:p w:rsidR="006F4F4D" w:rsidRDefault="006F4F4D">
      <w:pPr>
        <w:autoSpaceDE w:val="0"/>
        <w:autoSpaceDN w:val="0"/>
        <w:adjustRightInd w:val="0"/>
      </w:pPr>
      <w:r>
        <w:t>ARGUMENT</w:t>
      </w:r>
    </w:p>
    <w:p w:rsidR="006F4F4D" w:rsidRDefault="006F4F4D">
      <w:pPr>
        <w:autoSpaceDE w:val="0"/>
        <w:autoSpaceDN w:val="0"/>
        <w:adjustRightInd w:val="0"/>
      </w:pPr>
    </w:p>
    <w:p w:rsidR="006F4F4D" w:rsidRDefault="006F4F4D">
      <w:pPr>
        <w:autoSpaceDE w:val="0"/>
        <w:autoSpaceDN w:val="0"/>
        <w:adjustRightInd w:val="0"/>
      </w:pPr>
      <w:r>
        <w:t xml:space="preserve">I. There is a split in the circuits about whether the one-year </w:t>
      </w:r>
    </w:p>
    <w:p w:rsidR="006F4F4D" w:rsidRDefault="006F4F4D">
      <w:pPr>
        <w:autoSpaceDE w:val="0"/>
        <w:autoSpaceDN w:val="0"/>
        <w:adjustRightInd w:val="0"/>
      </w:pPr>
      <w:r>
        <w:t xml:space="preserve">period of limitations is tolled for “[t]he time during which a </w:t>
      </w:r>
    </w:p>
    <w:p w:rsidR="006F4F4D" w:rsidRDefault="006F4F4D">
      <w:pPr>
        <w:autoSpaceDE w:val="0"/>
        <w:autoSpaceDN w:val="0"/>
        <w:adjustRightInd w:val="0"/>
      </w:pPr>
      <w:r>
        <w:t>properly filed application for state postconviction or other</w:t>
      </w:r>
    </w:p>
    <w:p w:rsidR="006F4F4D" w:rsidRDefault="006F4F4D">
      <w:pPr>
        <w:autoSpaceDE w:val="0"/>
        <w:autoSpaceDN w:val="0"/>
        <w:adjustRightInd w:val="0"/>
      </w:pPr>
      <w:r>
        <w:t xml:space="preserve">collateral review with respect to the pertinent judgment or </w:t>
      </w:r>
    </w:p>
    <w:p w:rsidR="006F4F4D" w:rsidRDefault="006F4F4D">
      <w:pPr>
        <w:autoSpaceDE w:val="0"/>
        <w:autoSpaceDN w:val="0"/>
        <w:adjustRightInd w:val="0"/>
      </w:pPr>
      <w:r>
        <w:t xml:space="preserve">claim is pending. . . .” Antiterrorism and Effective Death </w:t>
      </w:r>
    </w:p>
    <w:p w:rsidR="006F4F4D" w:rsidRDefault="006F4F4D">
      <w:pPr>
        <w:autoSpaceDE w:val="0"/>
        <w:autoSpaceDN w:val="0"/>
        <w:adjustRightInd w:val="0"/>
      </w:pPr>
      <w:r>
        <w:t xml:space="preserve">Penalty Act (AEDPA). Where a defendant facing death </w:t>
      </w:r>
    </w:p>
    <w:p w:rsidR="006F4F4D" w:rsidRDefault="006F4F4D">
      <w:pPr>
        <w:autoSpaceDE w:val="0"/>
        <w:autoSpaceDN w:val="0"/>
        <w:adjustRightInd w:val="0"/>
      </w:pPr>
      <w:r>
        <w:t xml:space="preserve">has pending a United States Supreme Court certiorari </w:t>
      </w:r>
    </w:p>
    <w:p w:rsidR="006F4F4D" w:rsidRDefault="006F4F4D">
      <w:pPr>
        <w:autoSpaceDE w:val="0"/>
        <w:autoSpaceDN w:val="0"/>
        <w:adjustRightInd w:val="0"/>
      </w:pPr>
      <w:r>
        <w:t xml:space="preserve">petition to review the validity of  the State’s denial of his </w:t>
      </w:r>
    </w:p>
    <w:p w:rsidR="006F4F4D" w:rsidRDefault="006F4F4D">
      <w:pPr>
        <w:autoSpaceDE w:val="0"/>
        <w:autoSpaceDN w:val="0"/>
        <w:adjustRightInd w:val="0"/>
      </w:pPr>
      <w:r>
        <w:t xml:space="preserve">claims for state postconviction relief, does the defendant </w:t>
      </w:r>
    </w:p>
    <w:p w:rsidR="006F4F4D" w:rsidRDefault="006F4F4D">
      <w:pPr>
        <w:autoSpaceDE w:val="0"/>
        <w:autoSpaceDN w:val="0"/>
        <w:adjustRightInd w:val="0"/>
      </w:pPr>
      <w:r>
        <w:t>have an application pending that tolls the statute of limitations?............................................................................................................... 4</w:t>
      </w:r>
    </w:p>
    <w:p w:rsidR="006F4F4D" w:rsidRDefault="006F4F4D">
      <w:pPr>
        <w:autoSpaceDE w:val="0"/>
        <w:autoSpaceDN w:val="0"/>
        <w:adjustRightInd w:val="0"/>
      </w:pPr>
    </w:p>
    <w:p w:rsidR="006F4F4D" w:rsidRDefault="006F4F4D">
      <w:pPr>
        <w:autoSpaceDE w:val="0"/>
        <w:autoSpaceDN w:val="0"/>
        <w:adjustRightInd w:val="0"/>
      </w:pPr>
      <w:r>
        <w:t>CONCLUSION ....................................................................................................... 5</w:t>
      </w:r>
    </w:p>
    <w:p w:rsidR="006F4F4D" w:rsidRDefault="006F4F4D">
      <w:pPr>
        <w:autoSpaceDE w:val="0"/>
        <w:autoSpaceDN w:val="0"/>
        <w:adjustRightInd w:val="0"/>
      </w:pPr>
    </w:p>
    <w:p w:rsidR="006F4F4D" w:rsidRDefault="006F4F4D">
      <w:pPr>
        <w:autoSpaceDE w:val="0"/>
        <w:autoSpaceDN w:val="0"/>
        <w:adjustRightInd w:val="0"/>
      </w:pPr>
    </w:p>
    <w:p w:rsidR="006F4F4D" w:rsidRDefault="006F4F4D">
      <w:pPr>
        <w:autoSpaceDE w:val="0"/>
        <w:autoSpaceDN w:val="0"/>
        <w:adjustRightInd w:val="0"/>
        <w:jc w:val="center"/>
        <w:rPr>
          <w:b/>
        </w:rPr>
      </w:pPr>
      <w:r>
        <w:br w:type="page"/>
      </w:r>
      <w:r>
        <w:rPr>
          <w:b/>
        </w:rPr>
        <w:lastRenderedPageBreak/>
        <w:t>TABLE OF AUTHORITIES</w:t>
      </w:r>
    </w:p>
    <w:p w:rsidR="006F4F4D" w:rsidRDefault="006F4F4D">
      <w:pPr>
        <w:autoSpaceDE w:val="0"/>
        <w:autoSpaceDN w:val="0"/>
        <w:adjustRightInd w:val="0"/>
      </w:pPr>
    </w:p>
    <w:p w:rsidR="006F4F4D" w:rsidRDefault="006F4F4D">
      <w:pPr>
        <w:autoSpaceDE w:val="0"/>
        <w:autoSpaceDN w:val="0"/>
        <w:adjustRightInd w:val="0"/>
      </w:pPr>
    </w:p>
    <w:p w:rsidR="006F4F4D" w:rsidRDefault="006F4F4D">
      <w:pPr>
        <w:autoSpaceDE w:val="0"/>
        <w:autoSpaceDN w:val="0"/>
        <w:adjustRightInd w:val="0"/>
      </w:pPr>
    </w:p>
    <w:p w:rsidR="006F4F4D" w:rsidRDefault="006F4F4D">
      <w:pPr>
        <w:autoSpaceDE w:val="0"/>
        <w:autoSpaceDN w:val="0"/>
        <w:adjustRightInd w:val="0"/>
      </w:pPr>
    </w:p>
    <w:p w:rsidR="006F4F4D" w:rsidRDefault="006F4F4D">
      <w:pPr>
        <w:autoSpaceDE w:val="0"/>
        <w:autoSpaceDN w:val="0"/>
        <w:adjustRightInd w:val="0"/>
      </w:pPr>
    </w:p>
    <w:p w:rsidR="006F4F4D" w:rsidRDefault="006F4F4D">
      <w:pPr>
        <w:autoSpaceDE w:val="0"/>
        <w:autoSpaceDN w:val="0"/>
        <w:adjustRightInd w:val="0"/>
      </w:pPr>
    </w:p>
    <w:p w:rsidR="006F4F4D" w:rsidRDefault="006F4F4D">
      <w:pPr>
        <w:autoSpaceDE w:val="0"/>
        <w:autoSpaceDN w:val="0"/>
        <w:adjustRightInd w:val="0"/>
      </w:pPr>
    </w:p>
    <w:p w:rsidR="006F4F4D" w:rsidRDefault="006F4F4D">
      <w:pPr>
        <w:autoSpaceDE w:val="0"/>
        <w:autoSpaceDN w:val="0"/>
        <w:adjustRightInd w:val="0"/>
      </w:pPr>
    </w:p>
    <w:p w:rsidR="006F4F4D" w:rsidRDefault="006F4F4D">
      <w:pPr>
        <w:autoSpaceDE w:val="0"/>
        <w:autoSpaceDN w:val="0"/>
        <w:adjustRightInd w:val="0"/>
        <w:jc w:val="center"/>
        <w:rPr>
          <w:smallCaps/>
          <w:sz w:val="19"/>
          <w:szCs w:val="19"/>
        </w:rPr>
      </w:pPr>
      <w:r>
        <w:br w:type="page"/>
      </w:r>
      <w:r>
        <w:rPr>
          <w:smallCaps/>
        </w:rPr>
        <w:lastRenderedPageBreak/>
        <w:t>in the</w:t>
      </w:r>
    </w:p>
    <w:p w:rsidR="006F4F4D" w:rsidRDefault="006F4F4D">
      <w:pPr>
        <w:autoSpaceDE w:val="0"/>
        <w:autoSpaceDN w:val="0"/>
        <w:adjustRightInd w:val="0"/>
        <w:jc w:val="center"/>
        <w:rPr>
          <w:rFonts w:ascii="OldEnglishTextMT" w:hAnsi="OldEnglishTextMT" w:cs="OldEnglishTextMT"/>
          <w:sz w:val="36"/>
          <w:szCs w:val="36"/>
        </w:rPr>
      </w:pPr>
      <w:r>
        <w:rPr>
          <w:rFonts w:ascii="OldEnglishTextMT" w:hAnsi="OldEnglishTextMT" w:cs="OldEnglishTextMT"/>
          <w:sz w:val="36"/>
          <w:szCs w:val="36"/>
        </w:rPr>
        <w:t>Supreme Court of the United States</w:t>
      </w:r>
    </w:p>
    <w:p w:rsidR="006F4F4D" w:rsidRDefault="006F4F4D">
      <w:pPr>
        <w:autoSpaceDE w:val="0"/>
        <w:autoSpaceDN w:val="0"/>
        <w:adjustRightInd w:val="0"/>
        <w:jc w:val="center"/>
      </w:pPr>
      <w:r>
        <w:t>————</w:t>
      </w:r>
    </w:p>
    <w:p w:rsidR="006F4F4D" w:rsidRDefault="006F4F4D">
      <w:pPr>
        <w:autoSpaceDE w:val="0"/>
        <w:autoSpaceDN w:val="0"/>
        <w:adjustRightInd w:val="0"/>
        <w:jc w:val="center"/>
      </w:pPr>
      <w:r>
        <w:t>No. 08-2344</w:t>
      </w:r>
    </w:p>
    <w:p w:rsidR="006F4F4D" w:rsidRDefault="006F4F4D">
      <w:pPr>
        <w:autoSpaceDE w:val="0"/>
        <w:autoSpaceDN w:val="0"/>
        <w:adjustRightInd w:val="0"/>
        <w:jc w:val="center"/>
      </w:pPr>
      <w:r>
        <w:t>————</w:t>
      </w:r>
    </w:p>
    <w:p w:rsidR="006F4F4D" w:rsidRDefault="006F4F4D">
      <w:pPr>
        <w:autoSpaceDE w:val="0"/>
        <w:autoSpaceDN w:val="0"/>
        <w:adjustRightInd w:val="0"/>
        <w:jc w:val="center"/>
        <w:rPr>
          <w:smallCaps/>
        </w:rPr>
      </w:pPr>
      <w:r>
        <w:rPr>
          <w:smallCaps/>
        </w:rPr>
        <w:t>ted sutton,</w:t>
      </w:r>
    </w:p>
    <w:p w:rsidR="006F4F4D" w:rsidRDefault="006F4F4D">
      <w:pPr>
        <w:autoSpaceDE w:val="0"/>
        <w:autoSpaceDN w:val="0"/>
        <w:adjustRightInd w:val="0"/>
        <w:jc w:val="center"/>
      </w:pPr>
      <w:r>
        <w:rPr>
          <w:i/>
          <w:iCs/>
        </w:rPr>
        <w:t>Petitioner</w:t>
      </w:r>
      <w:r>
        <w:t>,</w:t>
      </w:r>
    </w:p>
    <w:p w:rsidR="006F4F4D" w:rsidRDefault="006F4F4D">
      <w:pPr>
        <w:autoSpaceDE w:val="0"/>
        <w:autoSpaceDN w:val="0"/>
        <w:adjustRightInd w:val="0"/>
        <w:jc w:val="center"/>
      </w:pPr>
      <w:r>
        <w:t>v.</w:t>
      </w:r>
    </w:p>
    <w:p w:rsidR="006F4F4D" w:rsidRDefault="006F4F4D">
      <w:pPr>
        <w:autoSpaceDE w:val="0"/>
        <w:autoSpaceDN w:val="0"/>
        <w:adjustRightInd w:val="0"/>
        <w:jc w:val="center"/>
        <w:rPr>
          <w:smallCaps/>
        </w:rPr>
      </w:pPr>
      <w:r>
        <w:rPr>
          <w:smallCaps/>
        </w:rPr>
        <w:t>state of alaska,</w:t>
      </w:r>
    </w:p>
    <w:p w:rsidR="006F4F4D" w:rsidRDefault="006F4F4D">
      <w:pPr>
        <w:autoSpaceDE w:val="0"/>
        <w:autoSpaceDN w:val="0"/>
        <w:adjustRightInd w:val="0"/>
        <w:jc w:val="center"/>
      </w:pPr>
      <w:r>
        <w:rPr>
          <w:i/>
          <w:iCs/>
        </w:rPr>
        <w:t>Respondent</w:t>
      </w:r>
      <w:r>
        <w:t>.</w:t>
      </w:r>
    </w:p>
    <w:p w:rsidR="006F4F4D" w:rsidRDefault="006F4F4D">
      <w:pPr>
        <w:autoSpaceDE w:val="0"/>
        <w:autoSpaceDN w:val="0"/>
        <w:adjustRightInd w:val="0"/>
        <w:jc w:val="center"/>
      </w:pPr>
      <w:r>
        <w:t>————</w:t>
      </w:r>
    </w:p>
    <w:p w:rsidR="006F4F4D" w:rsidRDefault="006F4F4D">
      <w:pPr>
        <w:autoSpaceDE w:val="0"/>
        <w:autoSpaceDN w:val="0"/>
        <w:adjustRightInd w:val="0"/>
        <w:jc w:val="center"/>
        <w:rPr>
          <w:b/>
          <w:bCs/>
        </w:rPr>
      </w:pPr>
      <w:r>
        <w:rPr>
          <w:b/>
          <w:bCs/>
        </w:rPr>
        <w:t>On Writ of Certiorari to the</w:t>
      </w:r>
    </w:p>
    <w:p w:rsidR="006F4F4D" w:rsidRDefault="006F4F4D">
      <w:pPr>
        <w:autoSpaceDE w:val="0"/>
        <w:autoSpaceDN w:val="0"/>
        <w:adjustRightInd w:val="0"/>
        <w:jc w:val="center"/>
        <w:rPr>
          <w:b/>
          <w:bCs/>
        </w:rPr>
      </w:pPr>
      <w:r>
        <w:rPr>
          <w:b/>
          <w:bCs/>
        </w:rPr>
        <w:t>United States Court of Appeals</w:t>
      </w:r>
    </w:p>
    <w:p w:rsidR="006F4F4D" w:rsidRDefault="006F4F4D">
      <w:pPr>
        <w:autoSpaceDE w:val="0"/>
        <w:autoSpaceDN w:val="0"/>
        <w:adjustRightInd w:val="0"/>
        <w:jc w:val="center"/>
        <w:rPr>
          <w:b/>
          <w:bCs/>
        </w:rPr>
      </w:pPr>
      <w:r>
        <w:rPr>
          <w:b/>
          <w:bCs/>
        </w:rPr>
        <w:t>for the Eleventh Circuit</w:t>
      </w:r>
    </w:p>
    <w:p w:rsidR="006F4F4D" w:rsidRDefault="006F4F4D">
      <w:pPr>
        <w:autoSpaceDE w:val="0"/>
        <w:autoSpaceDN w:val="0"/>
        <w:adjustRightInd w:val="0"/>
        <w:jc w:val="center"/>
      </w:pPr>
      <w:r>
        <w:t>————</w:t>
      </w:r>
    </w:p>
    <w:p w:rsidR="006F4F4D" w:rsidRDefault="006F4F4D">
      <w:pPr>
        <w:autoSpaceDE w:val="0"/>
        <w:autoSpaceDN w:val="0"/>
        <w:adjustRightInd w:val="0"/>
        <w:jc w:val="center"/>
        <w:rPr>
          <w:b/>
          <w:bCs/>
        </w:rPr>
      </w:pPr>
      <w:r>
        <w:rPr>
          <w:b/>
          <w:bCs/>
        </w:rPr>
        <w:t>REPLY BRIEF FOR THE PETITIONER</w:t>
      </w:r>
    </w:p>
    <w:p w:rsidR="006F4F4D" w:rsidRDefault="006F4F4D">
      <w:pPr>
        <w:autoSpaceDE w:val="0"/>
        <w:autoSpaceDN w:val="0"/>
        <w:adjustRightInd w:val="0"/>
      </w:pPr>
      <w:r>
        <w:t>————</w:t>
      </w:r>
    </w:p>
    <w:p w:rsidR="006F4F4D" w:rsidRDefault="006F4F4D">
      <w:pPr>
        <w:autoSpaceDE w:val="0"/>
        <w:autoSpaceDN w:val="0"/>
        <w:adjustRightInd w:val="0"/>
        <w:jc w:val="both"/>
        <w:rPr>
          <w:b/>
          <w:bCs/>
        </w:rPr>
      </w:pPr>
      <w:r>
        <w:rPr>
          <w:b/>
          <w:bCs/>
        </w:rPr>
        <w:t>ARGUMENT</w:t>
      </w:r>
    </w:p>
    <w:p w:rsidR="006F4F4D" w:rsidRDefault="006F4F4D">
      <w:pPr>
        <w:autoSpaceDE w:val="0"/>
        <w:autoSpaceDN w:val="0"/>
        <w:adjustRightInd w:val="0"/>
        <w:jc w:val="both"/>
      </w:pPr>
      <w:r>
        <w:t>I. There is a split in the circuits about whether the one-year period of limitations is tolled for “[t]he time during which a properly filed application for state postconviction or other collateral review with respect to the pertinent judgment or claim is pending . . .” Antiterrorism and Effective Death Penalty Act (AEDPA). Where a defendant facing death has pending a United States Supreme Court certiorari petition to review the validity of the State’s denial of his claims for state postconviction relief, does the defendant have an application pending that tolls the statute of limitations?</w:t>
      </w:r>
    </w:p>
    <w:p w:rsidR="006F4F4D" w:rsidRDefault="006F4F4D">
      <w:pPr>
        <w:autoSpaceDE w:val="0"/>
        <w:autoSpaceDN w:val="0"/>
        <w:adjustRightInd w:val="0"/>
        <w:jc w:val="both"/>
      </w:pPr>
    </w:p>
    <w:p w:rsidR="006F4F4D" w:rsidRDefault="006F4F4D">
      <w:pPr>
        <w:autoSpaceDE w:val="0"/>
        <w:autoSpaceDN w:val="0"/>
        <w:adjustRightInd w:val="0"/>
        <w:jc w:val="both"/>
      </w:pPr>
      <w:r>
        <w:t xml:space="preserve">The State quotes liberally from </w:t>
      </w:r>
      <w:r>
        <w:rPr>
          <w:b/>
          <w:i/>
          <w:iCs/>
        </w:rPr>
        <w:t xml:space="preserve">Carey v. Saffold, </w:t>
      </w:r>
      <w:r>
        <w:rPr>
          <w:b/>
        </w:rPr>
        <w:t>536 U.S. 214 (2002)</w:t>
      </w:r>
      <w:r>
        <w:t xml:space="preserve">, in support of its argument that tolling occurs only when the matter is being considered in the state courts. Resp. Br. at 7–8. In particular, the State relies on this Court’s statement that the matter is pending “[a]s long as the ordinary state collateral review process is ‘in continuance.’” Resp. Br. at 7, quoting </w:t>
      </w:r>
      <w:r>
        <w:rPr>
          <w:i/>
          <w:iCs/>
        </w:rPr>
        <w:t xml:space="preserve">Carey. Carey </w:t>
      </w:r>
      <w:r>
        <w:t xml:space="preserve">cannot be read as the State claims for two reasons. First, in </w:t>
      </w:r>
      <w:r>
        <w:rPr>
          <w:i/>
          <w:iCs/>
        </w:rPr>
        <w:t xml:space="preserve">Carey </w:t>
      </w:r>
      <w:r>
        <w:t xml:space="preserve">this Court was only asked to consider whether, during the gap between the decision by one state court and the request for review of that decision by a higher state court, the original application should be considered “pending”; it held that it should be. </w:t>
      </w:r>
      <w:r>
        <w:rPr>
          <w:i/>
          <w:iCs/>
        </w:rPr>
        <w:t>Carey</w:t>
      </w:r>
      <w:r>
        <w:t>, 536 U.S. at 219–21. This Court did not purport to resolve the question presented in this case: Is the matter still pending when review is sought from this Court? Second, this Court explained that “pending” means while the matter is “in continuance” or “until the completion of” the review process. What, then—if anything—legally undergirds the State’s position that this Court’s action does not amount to a continuance of the original state court proceeding upon which it operates?</w:t>
      </w:r>
    </w:p>
    <w:p w:rsidR="006F4F4D" w:rsidRDefault="006F4F4D">
      <w:pPr>
        <w:autoSpaceDE w:val="0"/>
        <w:autoSpaceDN w:val="0"/>
        <w:adjustRightInd w:val="0"/>
        <w:jc w:val="both"/>
      </w:pPr>
      <w:r>
        <w:t xml:space="preserve"> </w:t>
      </w:r>
    </w:p>
    <w:p w:rsidR="006F4F4D" w:rsidRDefault="006F4F4D">
      <w:pPr>
        <w:autoSpaceDE w:val="0"/>
        <w:autoSpaceDN w:val="0"/>
        <w:adjustRightInd w:val="0"/>
        <w:jc w:val="both"/>
      </w:pPr>
      <w:r>
        <w:t>In contrast to Mr. Sutton’s conservative, unremarkable statutory reading, the State urges a novel construction with far-reaching ramifications and inherent practical complications. To accommodate the State’s preferred postconviction landscape, this Court would have to create a new federal application, since, according to the State, the application changes its character from a state application for relief to some sort of unspecified federal application.</w:t>
      </w:r>
    </w:p>
    <w:p w:rsidR="006F4F4D" w:rsidRDefault="006F4F4D">
      <w:pPr>
        <w:autoSpaceDE w:val="0"/>
        <w:autoSpaceDN w:val="0"/>
        <w:adjustRightInd w:val="0"/>
        <w:jc w:val="both"/>
      </w:pPr>
    </w:p>
    <w:p w:rsidR="006F4F4D" w:rsidRDefault="006F4F4D">
      <w:pPr>
        <w:autoSpaceDE w:val="0"/>
        <w:autoSpaceDN w:val="0"/>
        <w:adjustRightInd w:val="0"/>
        <w:jc w:val="both"/>
      </w:pPr>
      <w:r>
        <w:lastRenderedPageBreak/>
        <w:t xml:space="preserve">As this Court has reiterated, “where Congress includes particular language in one section of a statute but omits it in another section of the same Act, it is generally presumed that Congress acts intentionally and purposely in the disparate inclusion or exclusion.” </w:t>
      </w:r>
      <w:r>
        <w:rPr>
          <w:b/>
          <w:i/>
          <w:iCs/>
        </w:rPr>
        <w:t xml:space="preserve">Duncan v. Walker, </w:t>
      </w:r>
      <w:r>
        <w:rPr>
          <w:b/>
        </w:rPr>
        <w:t>533 U.S. 167, 174 (2001)</w:t>
      </w:r>
      <w:r>
        <w:t xml:space="preserve"> (quoting </w:t>
      </w:r>
      <w:r>
        <w:rPr>
          <w:b/>
          <w:i/>
          <w:iCs/>
        </w:rPr>
        <w:t>Bates v. United State</w:t>
      </w:r>
      <w:r>
        <w:rPr>
          <w:b/>
        </w:rPr>
        <w:t>s, 522 U.S. 23, 29–30 (1997</w:t>
      </w:r>
      <w:r>
        <w:t>)).</w:t>
      </w:r>
    </w:p>
    <w:p w:rsidR="006F4F4D" w:rsidRDefault="006F4F4D">
      <w:pPr>
        <w:autoSpaceDE w:val="0"/>
        <w:autoSpaceDN w:val="0"/>
        <w:adjustRightInd w:val="0"/>
        <w:jc w:val="both"/>
      </w:pPr>
    </w:p>
    <w:p w:rsidR="006F4F4D" w:rsidRDefault="006F4F4D">
      <w:pPr>
        <w:autoSpaceDE w:val="0"/>
        <w:autoSpaceDN w:val="0"/>
        <w:adjustRightInd w:val="0"/>
        <w:jc w:val="both"/>
      </w:pPr>
      <w:r>
        <w:t xml:space="preserve">How important is speedy resolution of this death case to the State of Alaska? Alaska itself caused significant delay in Mr. Sutton’s case in two ways—the tardy assignment of counsel, discussed more fully below, and the failure to dismiss an interlocutory appeal in a timely fashion. On April 12, 2004, the district court entered an order staying the proceedings, noting a circuit split on the timeliness issue. Eleventh Circuit precedent notwithstanding, the district court elected to await the resolution of the then-pending certiorari petition in </w:t>
      </w:r>
      <w:r>
        <w:rPr>
          <w:b/>
          <w:i/>
          <w:iCs/>
        </w:rPr>
        <w:t xml:space="preserve">Abela v. Martin, </w:t>
      </w:r>
      <w:r>
        <w:rPr>
          <w:b/>
        </w:rPr>
        <w:t>348 F.3d 164 (6th Cir. 2003)</w:t>
      </w:r>
      <w:r>
        <w:t xml:space="preserve">; the Sixth Circuit’s holding in </w:t>
      </w:r>
      <w:r>
        <w:rPr>
          <w:i/>
          <w:iCs/>
        </w:rPr>
        <w:t xml:space="preserve">Abela </w:t>
      </w:r>
      <w:r>
        <w:t xml:space="preserve">was contrary to the Eleventh Circuit’s decision on this question in </w:t>
      </w:r>
      <w:r>
        <w:rPr>
          <w:b/>
          <w:i/>
          <w:iCs/>
        </w:rPr>
        <w:t>Coates v. Byrd</w:t>
      </w:r>
      <w:r>
        <w:rPr>
          <w:b/>
        </w:rPr>
        <w:t>, 211 F.3d 1225, 1227 (11th Cir. 2000)</w:t>
      </w:r>
      <w:r>
        <w:t xml:space="preserve">. The district court resolved that if this Court denied review in </w:t>
      </w:r>
      <w:r>
        <w:rPr>
          <w:i/>
          <w:iCs/>
        </w:rPr>
        <w:t>Abela</w:t>
      </w:r>
      <w:r>
        <w:t xml:space="preserve">, it would dismiss Mr. Sutton’s petition based on </w:t>
      </w:r>
      <w:r>
        <w:rPr>
          <w:i/>
          <w:iCs/>
        </w:rPr>
        <w:t>Coates</w:t>
      </w:r>
      <w:r>
        <w:t>.</w:t>
      </w:r>
    </w:p>
    <w:p w:rsidR="006F4F4D" w:rsidRDefault="006F4F4D">
      <w:pPr>
        <w:autoSpaceDE w:val="0"/>
        <w:autoSpaceDN w:val="0"/>
        <w:adjustRightInd w:val="0"/>
        <w:jc w:val="both"/>
      </w:pPr>
    </w:p>
    <w:p w:rsidR="006F4F4D" w:rsidRDefault="006F4F4D">
      <w:pPr>
        <w:autoSpaceDE w:val="0"/>
        <w:autoSpaceDN w:val="0"/>
        <w:adjustRightInd w:val="0"/>
        <w:jc w:val="both"/>
      </w:pPr>
      <w:r>
        <w:t xml:space="preserve">The State, in both the tone and substance of its arguments, urges this Court to consider a state court judge’s stake in being “right” as a counterbalance to this defendant’s desire for a federal review of his claims that may reveal the constitutional error standing between life and execution. How can these interests be equal? Indeed, what interest does any legal actor have that exceeds the duty to the integrity of the result and to the judicial system? Both the State’s failure to address core questions—what is the petition for certiorari if it is not a continuation of the state postconviction proceeding—and its limited comparison of </w:t>
      </w:r>
      <w:r>
        <w:rPr>
          <w:i/>
          <w:iCs/>
        </w:rPr>
        <w:t xml:space="preserve">relevant </w:t>
      </w:r>
      <w:r>
        <w:t>statutory provisions—demonstrate the fatal flaws of its position. These failures, along with the arguments set out in Petitioner’s initial brief and herein, require that relief must be granted.</w:t>
      </w:r>
    </w:p>
    <w:p w:rsidR="006F4F4D" w:rsidRDefault="006F4F4D">
      <w:pPr>
        <w:autoSpaceDE w:val="0"/>
        <w:autoSpaceDN w:val="0"/>
        <w:adjustRightInd w:val="0"/>
        <w:jc w:val="both"/>
      </w:pPr>
    </w:p>
    <w:p w:rsidR="006F4F4D" w:rsidRDefault="006F4F4D">
      <w:pPr>
        <w:autoSpaceDE w:val="0"/>
        <w:autoSpaceDN w:val="0"/>
        <w:adjustRightInd w:val="0"/>
        <w:jc w:val="both"/>
        <w:rPr>
          <w:b/>
          <w:bCs/>
        </w:rPr>
      </w:pPr>
      <w:r>
        <w:rPr>
          <w:b/>
          <w:bCs/>
        </w:rPr>
        <w:t>CONCLUSION</w:t>
      </w:r>
    </w:p>
    <w:p w:rsidR="006F4F4D" w:rsidRDefault="006F4F4D">
      <w:pPr>
        <w:autoSpaceDE w:val="0"/>
        <w:autoSpaceDN w:val="0"/>
        <w:adjustRightInd w:val="0"/>
        <w:jc w:val="both"/>
      </w:pPr>
      <w:r>
        <w:t>For the foregoing reasons, this Court should reverse the decision of the Eleventh Circuit Court of Appeals.</w:t>
      </w:r>
    </w:p>
    <w:p w:rsidR="006F4F4D" w:rsidRDefault="006F4F4D">
      <w:pPr>
        <w:autoSpaceDE w:val="0"/>
        <w:autoSpaceDN w:val="0"/>
        <w:adjustRightInd w:val="0"/>
        <w:jc w:val="both"/>
      </w:pPr>
    </w:p>
    <w:p w:rsidR="006F4F4D" w:rsidRDefault="006F4F4D">
      <w:pPr>
        <w:autoSpaceDE w:val="0"/>
        <w:autoSpaceDN w:val="0"/>
        <w:adjustRightInd w:val="0"/>
        <w:jc w:val="both"/>
      </w:pPr>
      <w:r>
        <w:t>Respectfully submitted,</w:t>
      </w:r>
    </w:p>
    <w:p w:rsidR="006F4F4D" w:rsidRDefault="006F4F4D">
      <w:pPr>
        <w:autoSpaceDE w:val="0"/>
        <w:autoSpaceDN w:val="0"/>
        <w:adjustRightInd w:val="0"/>
        <w:jc w:val="both"/>
        <w:rPr>
          <w:sz w:val="22"/>
          <w:szCs w:val="22"/>
        </w:rPr>
      </w:pPr>
    </w:p>
    <w:p w:rsidR="006F4F4D" w:rsidRDefault="006F4F4D">
      <w:pPr>
        <w:autoSpaceDE w:val="0"/>
        <w:autoSpaceDN w:val="0"/>
        <w:adjustRightInd w:val="0"/>
        <w:jc w:val="both"/>
        <w:rPr>
          <w:sz w:val="18"/>
          <w:szCs w:val="18"/>
        </w:rPr>
      </w:pPr>
      <w:r>
        <w:rPr>
          <w:sz w:val="22"/>
          <w:szCs w:val="22"/>
        </w:rPr>
        <w:t>W</w:t>
      </w:r>
      <w:r>
        <w:rPr>
          <w:sz w:val="18"/>
          <w:szCs w:val="18"/>
        </w:rPr>
        <w:t xml:space="preserve">ILLIAM </w:t>
      </w:r>
      <w:r>
        <w:rPr>
          <w:sz w:val="22"/>
          <w:szCs w:val="22"/>
        </w:rPr>
        <w:t>M. LAKE, Esq.</w:t>
      </w:r>
    </w:p>
    <w:p w:rsidR="006F4F4D" w:rsidRDefault="006F4F4D">
      <w:pPr>
        <w:autoSpaceDE w:val="0"/>
        <w:autoSpaceDN w:val="0"/>
        <w:adjustRightInd w:val="0"/>
        <w:jc w:val="both"/>
        <w:rPr>
          <w:sz w:val="22"/>
          <w:szCs w:val="22"/>
        </w:rPr>
      </w:pPr>
      <w:r>
        <w:rPr>
          <w:sz w:val="22"/>
          <w:szCs w:val="22"/>
        </w:rPr>
        <w:t>801 7</w:t>
      </w:r>
      <w:r>
        <w:rPr>
          <w:sz w:val="22"/>
          <w:szCs w:val="22"/>
          <w:vertAlign w:val="superscript"/>
        </w:rPr>
        <w:t>th</w:t>
      </w:r>
      <w:r>
        <w:rPr>
          <w:sz w:val="22"/>
          <w:szCs w:val="22"/>
        </w:rPr>
        <w:t xml:space="preserve"> Street</w:t>
      </w:r>
    </w:p>
    <w:p w:rsidR="006F4F4D" w:rsidRDefault="006F4F4D">
      <w:pPr>
        <w:autoSpaceDE w:val="0"/>
        <w:autoSpaceDN w:val="0"/>
        <w:adjustRightInd w:val="0"/>
        <w:jc w:val="both"/>
        <w:rPr>
          <w:sz w:val="22"/>
          <w:szCs w:val="22"/>
        </w:rPr>
      </w:pPr>
      <w:r>
        <w:rPr>
          <w:sz w:val="22"/>
          <w:szCs w:val="22"/>
        </w:rPr>
        <w:t>New York, NY 95387</w:t>
      </w:r>
    </w:p>
    <w:p w:rsidR="006F4F4D" w:rsidRDefault="006F4F4D">
      <w:pPr>
        <w:autoSpaceDE w:val="0"/>
        <w:autoSpaceDN w:val="0"/>
        <w:adjustRightInd w:val="0"/>
        <w:jc w:val="both"/>
        <w:rPr>
          <w:sz w:val="22"/>
          <w:szCs w:val="22"/>
        </w:rPr>
      </w:pPr>
    </w:p>
    <w:p w:rsidR="006F4F4D" w:rsidRDefault="006F4F4D">
      <w:pPr>
        <w:autoSpaceDE w:val="0"/>
        <w:autoSpaceDN w:val="0"/>
        <w:adjustRightInd w:val="0"/>
        <w:jc w:val="both"/>
        <w:rPr>
          <w:i/>
          <w:iCs/>
          <w:sz w:val="22"/>
          <w:szCs w:val="22"/>
        </w:rPr>
      </w:pPr>
      <w:r>
        <w:rPr>
          <w:i/>
          <w:iCs/>
          <w:sz w:val="22"/>
          <w:szCs w:val="22"/>
        </w:rPr>
        <w:t>Attorney for Petitioner</w:t>
      </w:r>
    </w:p>
    <w:sectPr w:rsidR="006F4F4D">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OldEnglishTextMT">
    <w:altName w:val="Times New Roman"/>
    <w:panose1 w:val="020B0604020202020204"/>
    <w:charset w:val="00"/>
    <w:family w:val="swiss"/>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EEE"/>
    <w:rsid w:val="00645EEE"/>
    <w:rsid w:val="006F4F4D"/>
    <w:rsid w:val="007F5D4F"/>
    <w:rsid w:val="00D42784"/>
    <w:rsid w:val="00E65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4187FAD-A193-5A46-A41B-92BEFDA26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In The Supreme Court of the United States</vt:lpstr>
    </vt:vector>
  </TitlesOfParts>
  <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Supreme Court of the United States</dc:title>
  <dc:subject/>
  <dc:creator>Katy Bastille</dc:creator>
  <cp:keywords/>
  <dc:description/>
  <cp:lastModifiedBy>sherika rikka</cp:lastModifiedBy>
  <cp:revision>2</cp:revision>
  <dcterms:created xsi:type="dcterms:W3CDTF">2019-03-02T16:04:00Z</dcterms:created>
  <dcterms:modified xsi:type="dcterms:W3CDTF">2019-03-02T16:04:00Z</dcterms:modified>
</cp:coreProperties>
</file>